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D1070" w14:textId="77777777" w:rsidR="00DA6CB4" w:rsidRDefault="00DA6CB4">
      <w:pPr>
        <w:rPr>
          <w:rFonts w:ascii="Calibri" w:hAnsi="Calibri"/>
          <w:b/>
        </w:rPr>
      </w:pPr>
      <w:r>
        <w:rPr>
          <w:rFonts w:ascii="Calibri" w:hAnsi="Calibri"/>
          <w:b/>
        </w:rPr>
        <w:t>AIANH NHYAF Design Competition 2013</w:t>
      </w:r>
    </w:p>
    <w:p w14:paraId="1A4C98F8" w14:textId="77777777" w:rsidR="00DA6CB4" w:rsidRDefault="00DA6CB4">
      <w:pPr>
        <w:rPr>
          <w:rFonts w:ascii="Calibri" w:hAnsi="Calibri"/>
          <w:b/>
        </w:rPr>
      </w:pPr>
    </w:p>
    <w:p w14:paraId="07951460" w14:textId="77777777" w:rsidR="004459F8" w:rsidRPr="00DA6CB4" w:rsidRDefault="004459F8">
      <w:pPr>
        <w:rPr>
          <w:rFonts w:ascii="Calibri" w:hAnsi="Calibri"/>
          <w:b/>
        </w:rPr>
      </w:pPr>
      <w:r w:rsidRPr="00DA6CB4">
        <w:rPr>
          <w:rFonts w:ascii="Calibri" w:hAnsi="Calibri"/>
          <w:b/>
        </w:rPr>
        <w:t>Whitcomb Hall Renovation Program</w:t>
      </w:r>
    </w:p>
    <w:p w14:paraId="7D3B55C7" w14:textId="77777777" w:rsidR="005C19B5" w:rsidRPr="00DA6CB4" w:rsidRDefault="005C19B5">
      <w:pPr>
        <w:rPr>
          <w:rFonts w:ascii="Calibri" w:hAnsi="Calibri"/>
          <w:b/>
        </w:rPr>
      </w:pPr>
      <w:r w:rsidRPr="00DA6CB4">
        <w:rPr>
          <w:rFonts w:ascii="Calibri" w:hAnsi="Calibri"/>
          <w:b/>
        </w:rPr>
        <w:t xml:space="preserve">West </w:t>
      </w:r>
      <w:proofErr w:type="spellStart"/>
      <w:r w:rsidR="00825018" w:rsidRPr="00DA6CB4">
        <w:rPr>
          <w:rFonts w:ascii="Calibri" w:hAnsi="Calibri"/>
          <w:b/>
        </w:rPr>
        <w:t>Swan</w:t>
      </w:r>
      <w:r w:rsidR="00825018">
        <w:rPr>
          <w:rFonts w:ascii="Calibri" w:hAnsi="Calibri"/>
          <w:b/>
        </w:rPr>
        <w:t>zey</w:t>
      </w:r>
      <w:proofErr w:type="spellEnd"/>
      <w:r w:rsidRPr="00DA6CB4">
        <w:rPr>
          <w:rFonts w:ascii="Calibri" w:hAnsi="Calibri"/>
          <w:b/>
        </w:rPr>
        <w:t>, New Hampshire</w:t>
      </w:r>
    </w:p>
    <w:p w14:paraId="6856A841" w14:textId="77777777" w:rsidR="004459F8" w:rsidRPr="00DA6CB4" w:rsidRDefault="004459F8">
      <w:pPr>
        <w:rPr>
          <w:rFonts w:ascii="Calibri" w:hAnsi="Calibri"/>
          <w:sz w:val="22"/>
          <w:szCs w:val="22"/>
        </w:rPr>
      </w:pPr>
    </w:p>
    <w:p w14:paraId="5F81B448" w14:textId="77777777" w:rsidR="004459F8" w:rsidRPr="00DA6CB4" w:rsidRDefault="004459F8" w:rsidP="004C1135">
      <w:pPr>
        <w:spacing w:after="120"/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 xml:space="preserve">The Village of West </w:t>
      </w:r>
      <w:proofErr w:type="spellStart"/>
      <w:r w:rsidR="00825018" w:rsidRPr="00DA6CB4">
        <w:rPr>
          <w:rFonts w:ascii="Calibri" w:hAnsi="Calibri"/>
          <w:sz w:val="22"/>
          <w:szCs w:val="22"/>
        </w:rPr>
        <w:t>Swan</w:t>
      </w:r>
      <w:r w:rsidR="00825018">
        <w:rPr>
          <w:rFonts w:ascii="Calibri" w:hAnsi="Calibri"/>
          <w:sz w:val="22"/>
          <w:szCs w:val="22"/>
        </w:rPr>
        <w:t>zey</w:t>
      </w:r>
      <w:proofErr w:type="spellEnd"/>
      <w:r w:rsidRPr="00DA6CB4">
        <w:rPr>
          <w:rFonts w:ascii="Calibri" w:hAnsi="Calibri"/>
          <w:sz w:val="22"/>
          <w:szCs w:val="22"/>
        </w:rPr>
        <w:t>, New Hampshire would like to renovate the Whitcomb Hall Building into a premier, for-profit event facilit</w:t>
      </w:r>
      <w:bookmarkStart w:id="0" w:name="_GoBack"/>
      <w:bookmarkEnd w:id="0"/>
      <w:r w:rsidRPr="00DA6CB4">
        <w:rPr>
          <w:rFonts w:ascii="Calibri" w:hAnsi="Calibri"/>
          <w:sz w:val="22"/>
          <w:szCs w:val="22"/>
        </w:rPr>
        <w:t>y that serves the southwest region of the State.  The facility should be capable of hosti</w:t>
      </w:r>
      <w:r w:rsidR="005C19B5" w:rsidRPr="00DA6CB4">
        <w:rPr>
          <w:rFonts w:ascii="Calibri" w:hAnsi="Calibri"/>
          <w:sz w:val="22"/>
          <w:szCs w:val="22"/>
        </w:rPr>
        <w:t>ng events from 10 to 25</w:t>
      </w:r>
      <w:r w:rsidRPr="00DA6CB4">
        <w:rPr>
          <w:rFonts w:ascii="Calibri" w:hAnsi="Calibri"/>
          <w:sz w:val="22"/>
          <w:szCs w:val="22"/>
        </w:rPr>
        <w:t>0 people with a plan that allows for flexible use and multiple configurations of the space.  This new events facility should include the following components:</w:t>
      </w:r>
    </w:p>
    <w:p w14:paraId="0DEE12DD" w14:textId="77777777" w:rsidR="004239D4" w:rsidRPr="00DA6CB4" w:rsidRDefault="004239D4" w:rsidP="004459F8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A Main A</w:t>
      </w:r>
      <w:r w:rsidR="004459F8" w:rsidRPr="00DA6CB4">
        <w:rPr>
          <w:rFonts w:ascii="Calibri" w:hAnsi="Calibri"/>
          <w:sz w:val="22"/>
          <w:szCs w:val="22"/>
        </w:rPr>
        <w:t>uditorium space</w:t>
      </w:r>
      <w:r w:rsidRPr="00DA6CB4">
        <w:rPr>
          <w:rFonts w:ascii="Calibri" w:hAnsi="Calibri"/>
          <w:sz w:val="22"/>
          <w:szCs w:val="22"/>
        </w:rPr>
        <w:t xml:space="preserve"> that supports theatrical and musical performances; movies; weddings and wedding receptions; lectures; private dinners; and other large gatherings.  The Main Auditorium shall include the audio-visual, and stage capability to support these functions, as well as convenient and functional storage space required for the different types of furnishings required for different events.</w:t>
      </w:r>
    </w:p>
    <w:p w14:paraId="0156608F" w14:textId="77777777" w:rsidR="00DD30AA" w:rsidRPr="00DA6CB4" w:rsidRDefault="004239D4" w:rsidP="004459F8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A Multipurpose Room that supports a variety of meeting; dining; and classroom uses.  The Multipurpose Room will also be used to supplement the Main Auditorium space for larger events.  The Multipurpose Room will be adjacent to the ne</w:t>
      </w:r>
      <w:r w:rsidR="00DD30AA" w:rsidRPr="00DA6CB4">
        <w:rPr>
          <w:rFonts w:ascii="Calibri" w:hAnsi="Calibri"/>
          <w:sz w:val="22"/>
          <w:szCs w:val="22"/>
        </w:rPr>
        <w:t>w Kitchen (described below) to accommodate cooking classes.  Audio-visual capability in this space should be scaled for smaller groups.</w:t>
      </w:r>
    </w:p>
    <w:p w14:paraId="69C3113C" w14:textId="77777777" w:rsidR="00DD30AA" w:rsidRPr="00DA6CB4" w:rsidRDefault="00DD30AA" w:rsidP="004459F8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Break-out Room(s) that support the Multipurpose Room.  The Break-out Room(s) will accommodate uses such as temporary offices; legal deposition; and bridal party preparations.  These rooms should have convenient proximity to the Multipurpose Room and Main Auditorium.</w:t>
      </w:r>
    </w:p>
    <w:p w14:paraId="7B7908FB" w14:textId="77777777" w:rsidR="009D30CC" w:rsidRPr="00DA6CB4" w:rsidRDefault="00DD30AA" w:rsidP="004459F8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A Kitchen that supports caterers for large events, private dinner parties, and cooking classes.  The Kitchen shall be located with convenient proximity to the Multipurpose Room</w:t>
      </w:r>
      <w:r w:rsidR="005C19B5" w:rsidRPr="00DA6CB4">
        <w:rPr>
          <w:rFonts w:ascii="Calibri" w:hAnsi="Calibri"/>
          <w:sz w:val="22"/>
          <w:szCs w:val="22"/>
        </w:rPr>
        <w:t xml:space="preserve">, have a convenient means of delivering food to the Main </w:t>
      </w:r>
      <w:r w:rsidR="00825018" w:rsidRPr="00DA6CB4">
        <w:rPr>
          <w:rFonts w:ascii="Calibri" w:hAnsi="Calibri"/>
          <w:sz w:val="22"/>
          <w:szCs w:val="22"/>
        </w:rPr>
        <w:t>Auditorium</w:t>
      </w:r>
      <w:r w:rsidRPr="00DA6CB4">
        <w:rPr>
          <w:rFonts w:ascii="Calibri" w:hAnsi="Calibri"/>
          <w:sz w:val="22"/>
          <w:szCs w:val="22"/>
        </w:rPr>
        <w:t>, and allow mechanical and exhaust to have minimal visual impact on the Building’s exterior.  The Kitchen shall provide as a minimum, a large commercial convection</w:t>
      </w:r>
      <w:r w:rsidR="004C1135" w:rsidRPr="00DA6CB4">
        <w:rPr>
          <w:rFonts w:ascii="Calibri" w:hAnsi="Calibri"/>
          <w:sz w:val="22"/>
          <w:szCs w:val="22"/>
        </w:rPr>
        <w:t xml:space="preserve"> oven, large commercial refrigerator, large double sink, and ample workspace.</w:t>
      </w:r>
    </w:p>
    <w:p w14:paraId="6D5A76D9" w14:textId="77777777" w:rsidR="004459F8" w:rsidRPr="00DA6CB4" w:rsidRDefault="009D30CC" w:rsidP="004459F8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A small Office space that accommodates the needs of the Building’s management.</w:t>
      </w:r>
    </w:p>
    <w:p w14:paraId="428E51CD" w14:textId="77777777" w:rsidR="004C1135" w:rsidRPr="00DA6CB4" w:rsidRDefault="004C1135" w:rsidP="004459F8">
      <w:pPr>
        <w:pStyle w:val="ListParagraph"/>
        <w:ind w:left="360"/>
        <w:rPr>
          <w:rFonts w:ascii="Calibri" w:hAnsi="Calibri"/>
          <w:sz w:val="22"/>
          <w:szCs w:val="22"/>
        </w:rPr>
      </w:pPr>
    </w:p>
    <w:p w14:paraId="68E4FFC2" w14:textId="77777777" w:rsidR="004C1135" w:rsidRPr="00DA6CB4" w:rsidRDefault="004C1135" w:rsidP="005C19B5">
      <w:pPr>
        <w:pStyle w:val="ListParagraph"/>
        <w:spacing w:after="120"/>
        <w:ind w:left="0"/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In addition to providing the spaces listed above, the Whitcomb Hall Building will also include:</w:t>
      </w:r>
    </w:p>
    <w:p w14:paraId="3434B0F6" w14:textId="77777777" w:rsidR="004C1135" w:rsidRPr="00DA6CB4" w:rsidRDefault="004C1135" w:rsidP="004C1135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A new addition that provides code compliant egress, and accessibility.</w:t>
      </w:r>
    </w:p>
    <w:p w14:paraId="64758E07" w14:textId="77777777" w:rsidR="004C1135" w:rsidRPr="00DA6CB4" w:rsidRDefault="004C1135" w:rsidP="004C1135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Appropriate and convenient connections to parking and Village pedestrian circulation.</w:t>
      </w:r>
    </w:p>
    <w:p w14:paraId="0CD69962" w14:textId="77777777" w:rsidR="005C19B5" w:rsidRPr="00DA6CB4" w:rsidRDefault="004C1135" w:rsidP="004C1135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Means of announcing events through signage attached and/or unattached to the Building.</w:t>
      </w:r>
    </w:p>
    <w:p w14:paraId="1FC6FB3A" w14:textId="77777777" w:rsidR="005C19B5" w:rsidRPr="00DA6CB4" w:rsidRDefault="005C19B5" w:rsidP="004C1135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Public, accessible restrooms.</w:t>
      </w:r>
    </w:p>
    <w:p w14:paraId="2FA0A382" w14:textId="77777777" w:rsidR="005C19B5" w:rsidRPr="00DA6CB4" w:rsidRDefault="005C19B5" w:rsidP="004C1135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Adequate Lobby Entry space</w:t>
      </w:r>
      <w:r w:rsidR="004C1135" w:rsidRPr="00DA6CB4">
        <w:rPr>
          <w:rFonts w:ascii="Calibri" w:hAnsi="Calibri"/>
          <w:sz w:val="22"/>
          <w:szCs w:val="22"/>
        </w:rPr>
        <w:t xml:space="preserve"> </w:t>
      </w:r>
      <w:r w:rsidRPr="00DA6CB4">
        <w:rPr>
          <w:rFonts w:ascii="Calibri" w:hAnsi="Calibri"/>
          <w:sz w:val="22"/>
          <w:szCs w:val="22"/>
        </w:rPr>
        <w:t>for the Main Auditorium.</w:t>
      </w:r>
    </w:p>
    <w:p w14:paraId="40AD77FC" w14:textId="77777777" w:rsidR="005C19B5" w:rsidRPr="00DA6CB4" w:rsidRDefault="005C19B5" w:rsidP="005C19B5">
      <w:pPr>
        <w:rPr>
          <w:rFonts w:ascii="Calibri" w:hAnsi="Calibri"/>
          <w:sz w:val="22"/>
          <w:szCs w:val="22"/>
        </w:rPr>
      </w:pPr>
    </w:p>
    <w:p w14:paraId="59E0DC81" w14:textId="77777777" w:rsidR="004459F8" w:rsidRPr="00DA6CB4" w:rsidRDefault="005C19B5" w:rsidP="005C19B5">
      <w:pPr>
        <w:rPr>
          <w:rFonts w:ascii="Calibri" w:hAnsi="Calibri"/>
          <w:sz w:val="22"/>
          <w:szCs w:val="22"/>
        </w:rPr>
      </w:pPr>
      <w:r w:rsidRPr="00DA6CB4">
        <w:rPr>
          <w:rFonts w:ascii="Calibri" w:hAnsi="Calibri"/>
          <w:sz w:val="22"/>
          <w:szCs w:val="22"/>
        </w:rPr>
        <w:t>Design proposals should show a sample of different room furnishing configurations.  Compliance to the Secretary of the Interiors Standards for Rehabilitation and Guidelines for Rehabilitating Historic Buildings is encouraged.</w:t>
      </w:r>
    </w:p>
    <w:p w14:paraId="22783887" w14:textId="77777777" w:rsidR="00DA6CB4" w:rsidRDefault="00DA6CB4"/>
    <w:sectPr w:rsidR="00DA6CB4" w:rsidSect="004459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1B2C"/>
    <w:multiLevelType w:val="hybridMultilevel"/>
    <w:tmpl w:val="178E0944"/>
    <w:lvl w:ilvl="0" w:tplc="CCDA45A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2751516"/>
    <w:multiLevelType w:val="hybridMultilevel"/>
    <w:tmpl w:val="3BC41BE8"/>
    <w:lvl w:ilvl="0" w:tplc="CCDA45A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597D5155"/>
    <w:multiLevelType w:val="hybridMultilevel"/>
    <w:tmpl w:val="E672436A"/>
    <w:lvl w:ilvl="0" w:tplc="CCDA45A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459F8"/>
    <w:rsid w:val="004239D4"/>
    <w:rsid w:val="004459F8"/>
    <w:rsid w:val="004C1135"/>
    <w:rsid w:val="005C19B5"/>
    <w:rsid w:val="00825018"/>
    <w:rsid w:val="009D30CC"/>
    <w:rsid w:val="00DA6CB4"/>
    <w:rsid w:val="00DD30AA"/>
    <w:rsid w:val="00E619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D0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2345</Characters>
  <Application>Microsoft Macintosh Word</Application>
  <DocSecurity>0</DocSecurity>
  <Lines>19</Lines>
  <Paragraphs>5</Paragraphs>
  <ScaleCrop>false</ScaleCrop>
  <Company>UK Architects, PC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Isaak</dc:creator>
  <cp:keywords/>
  <cp:lastModifiedBy>Carolyn Isaak</cp:lastModifiedBy>
  <cp:revision>3</cp:revision>
  <dcterms:created xsi:type="dcterms:W3CDTF">2012-11-12T16:20:00Z</dcterms:created>
  <dcterms:modified xsi:type="dcterms:W3CDTF">2012-11-12T16:22:00Z</dcterms:modified>
</cp:coreProperties>
</file>